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04" w:rsidRDefault="007B6B04" w:rsidP="007F48D6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:rsidR="001544F9" w:rsidRDefault="007F48D6" w:rsidP="001544F9">
      <w:pPr>
        <w:pStyle w:val="NoSpacing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F17A4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The Probate Timeline</w:t>
      </w:r>
      <w:r w:rsidR="001544F9" w:rsidRPr="00F17A4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by</w:t>
      </w:r>
      <w:r w:rsidR="00F17A4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</w:t>
      </w:r>
      <w:r w:rsidR="001544F9" w:rsidRPr="00F17A4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Sean Daryani</w:t>
      </w:r>
      <w:r w:rsidR="000A6744" w:rsidRPr="00F17A4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&amp; Team</w:t>
      </w:r>
    </w:p>
    <w:p w:rsidR="001544F9" w:rsidRDefault="00AB3892" w:rsidP="008143F3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___________________________________________</w:t>
      </w:r>
    </w:p>
    <w:p w:rsidR="007F48D6" w:rsidRPr="00AB3892" w:rsidRDefault="007B6B04" w:rsidP="008143F3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7B6B04">
        <w:rPr>
          <w:rFonts w:ascii="Arial" w:hAnsi="Arial" w:cs="Arial"/>
          <w:color w:val="C00000"/>
          <w:sz w:val="36"/>
          <w:szCs w:val="36"/>
        </w:rPr>
        <w:t xml:space="preserve"> </w:t>
      </w:r>
      <w:r w:rsidR="007F48D6" w:rsidRPr="00AB3892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Step</w:t>
      </w:r>
      <w:r w:rsidR="007F48D6" w:rsidRPr="00AB3892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ab/>
      </w:r>
      <w:r w:rsid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         </w:t>
      </w:r>
      <w:r w:rsidR="007F48D6" w:rsidRP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 </w:t>
      </w:r>
      <w:r w:rsid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           </w:t>
      </w:r>
      <w:r w:rsidR="00AB3892">
        <w:rPr>
          <w:noProof/>
        </w:rPr>
        <w:drawing>
          <wp:inline distT="0" distB="0" distL="0" distR="0" wp14:anchorId="5C7B8E7D" wp14:editId="0B16264F">
            <wp:extent cx="111442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8D6" w:rsidRP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 </w:t>
      </w:r>
      <w:r w:rsid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       </w:t>
      </w:r>
      <w:bookmarkStart w:id="0" w:name="_GoBack"/>
      <w:bookmarkEnd w:id="0"/>
      <w:r w:rsid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</w:t>
      </w:r>
      <w:r w:rsidR="007F48D6" w:rsidRP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</w:t>
      </w:r>
      <w:r w:rsidR="008143F3" w:rsidRPr="00AB3892">
        <w:rPr>
          <w:rFonts w:ascii="Arial" w:hAnsi="Arial" w:cs="Arial"/>
          <w:color w:val="244061" w:themeColor="accent1" w:themeShade="80"/>
          <w:sz w:val="36"/>
          <w:szCs w:val="36"/>
        </w:rPr>
        <w:t xml:space="preserve">          </w:t>
      </w:r>
      <w:r w:rsidR="007F48D6" w:rsidRPr="00AB3892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Duration</w:t>
      </w:r>
    </w:p>
    <w:tbl>
      <w:tblPr>
        <w:tblStyle w:val="LightShading-Accent5"/>
        <w:tblW w:w="10440" w:type="dxa"/>
        <w:tblInd w:w="-252" w:type="dxa"/>
        <w:tblLook w:val="04A0" w:firstRow="1" w:lastRow="0" w:firstColumn="1" w:lastColumn="0" w:noHBand="0" w:noVBand="1"/>
      </w:tblPr>
      <w:tblGrid>
        <w:gridCol w:w="7938"/>
        <w:gridCol w:w="252"/>
        <w:gridCol w:w="2250"/>
      </w:tblGrid>
      <w:tr w:rsidR="008143F3" w:rsidRPr="001544F9" w:rsidTr="001B5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7B6B04" w:rsidP="007F48D6">
            <w:pPr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Probate and File Petition for Probate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B6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  <w:t>1-2 months</w:t>
            </w: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7B6B04" w:rsidP="007B6B04">
            <w:pPr>
              <w:ind w:right="-1188"/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Court hearing on the Petition for Probate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2-3 months</w:t>
            </w: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7B6B04" w:rsidP="007F48D6">
            <w:pPr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 xml:space="preserve">The </w:t>
            </w:r>
            <w:r w:rsidR="008143F3"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Following are issued: Letter of Administration, Order for Probate, Duties and Liabilities, Issue Bond (if ordered), and</w:t>
            </w:r>
          </w:p>
          <w:p w:rsidR="00264F2A" w:rsidRPr="00AB3892" w:rsidRDefault="008143F3" w:rsidP="007F48D6">
            <w:pPr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**Letters Testamentary**</w:t>
            </w:r>
            <w:r w:rsidR="00264F2A"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8143F3" w:rsidRPr="00AB3892" w:rsidRDefault="00264F2A" w:rsidP="007F48D6">
            <w:pPr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(sometimes referred to as the Letter of Administration)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8143F3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2-4 months</w:t>
            </w:r>
          </w:p>
          <w:p w:rsidR="008143F3" w:rsidRPr="00AB3892" w:rsidRDefault="008143F3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(if not contested)</w:t>
            </w: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8143F3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Notice of Creditors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8143F3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2-4 months</w:t>
            </w: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8143F3" w:rsidP="007F48D6">
            <w:pPr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Notice to Department of Health Services Inventory &amp; Appraisement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1B596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4-8 months</w:t>
            </w: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1B5964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Pay State and Federal Taxes (if necessary)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1B596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6-12 months</w:t>
            </w: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1B5964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Allow or Reject Creditor Claims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1B5964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Possible Preliminary Distributions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1B5964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Notice to Department of Health Services (if deceased received medical)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Notice to Franchise Tax Board (if heir is out of state)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Claim of Exemption (if assets transfer to a minor)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B01BFA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6-15 months</w:t>
            </w: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Receive Final Tax Letter from State and Federal (if applicable)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B01BFA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6-18 months</w:t>
            </w: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File Petition for Final Distribution and Accounting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B01BFA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8-16 months</w:t>
            </w: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Hearing on Petition for Final Distribution and Accounting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Order Approving Final Distribution and Accounting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Distribution of Assets to Heirs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B01BFA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9-17 months</w:t>
            </w:r>
          </w:p>
        </w:tc>
      </w:tr>
      <w:tr w:rsidR="008143F3" w:rsidRPr="001544F9" w:rsidTr="001B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984806" w:themeColor="accent6" w:themeShade="80"/>
                <w:sz w:val="28"/>
                <w:szCs w:val="28"/>
              </w:rPr>
              <w:t>Final Discharge Order (indicates close of probate case)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B01BFA" w:rsidP="007F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9-18 months</w:t>
            </w:r>
          </w:p>
        </w:tc>
      </w:tr>
      <w:tr w:rsidR="008143F3" w:rsidRPr="001544F9" w:rsidTr="001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</w:tcBorders>
          </w:tcPr>
          <w:p w:rsidR="007B6B04" w:rsidRPr="00AB3892" w:rsidRDefault="00B01BFA" w:rsidP="007F48D6">
            <w:pPr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b w:val="0"/>
                <w:color w:val="244061" w:themeColor="accent1" w:themeShade="80"/>
                <w:sz w:val="28"/>
                <w:szCs w:val="28"/>
              </w:rPr>
              <w:t>Final Distribution of Funds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6B04" w:rsidRPr="00AB3892" w:rsidRDefault="007B6B04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7B6B04" w:rsidRPr="00AB3892" w:rsidRDefault="00B01BFA" w:rsidP="007F4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AB389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9-18 months</w:t>
            </w:r>
          </w:p>
        </w:tc>
      </w:tr>
    </w:tbl>
    <w:p w:rsidR="007F48D6" w:rsidRPr="001544F9" w:rsidRDefault="007F48D6" w:rsidP="007F48D6">
      <w:pPr>
        <w:jc w:val="center"/>
        <w:rPr>
          <w:rFonts w:cstheme="minorHAnsi"/>
          <w:color w:val="244061" w:themeColor="accent1" w:themeShade="80"/>
          <w:sz w:val="24"/>
          <w:szCs w:val="24"/>
        </w:rPr>
      </w:pPr>
    </w:p>
    <w:sectPr w:rsidR="007F48D6" w:rsidRPr="001544F9" w:rsidSect="007B6B04">
      <w:pgSz w:w="12240" w:h="15840"/>
      <w:pgMar w:top="5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D6"/>
    <w:rsid w:val="000A6744"/>
    <w:rsid w:val="001544F9"/>
    <w:rsid w:val="001B5964"/>
    <w:rsid w:val="00264F2A"/>
    <w:rsid w:val="00541C34"/>
    <w:rsid w:val="007B3A9E"/>
    <w:rsid w:val="007B6B04"/>
    <w:rsid w:val="007F48D6"/>
    <w:rsid w:val="008143F3"/>
    <w:rsid w:val="00AB3892"/>
    <w:rsid w:val="00B01BFA"/>
    <w:rsid w:val="00F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7B6B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1544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7B6B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1544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FD95-448F-4347-BF01-D9D95351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5CF47884</Template>
  <TotalTime>87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 Sean Deryani</cp:lastModifiedBy>
  <cp:revision>4</cp:revision>
  <dcterms:created xsi:type="dcterms:W3CDTF">2011-12-20T06:46:00Z</dcterms:created>
  <dcterms:modified xsi:type="dcterms:W3CDTF">2011-12-22T02:18:00Z</dcterms:modified>
</cp:coreProperties>
</file>